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38AA13E6" w14:textId="10449C14" w:rsidR="00C64803" w:rsidRPr="00A10896" w:rsidRDefault="00C64803" w:rsidP="00A108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Како препознати дислексију и помоћи детету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?</w:t>
      </w:r>
    </w:p>
    <w:p w14:paraId="165EC4AC" w14:textId="77777777" w:rsidR="00307B3E" w:rsidRPr="00A10896" w:rsidRDefault="00307B3E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FCA3ED6" w14:textId="5F189ADA" w:rsidR="00C64803" w:rsidRPr="00A10896" w:rsidRDefault="00C64803" w:rsidP="007C4D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Дислексија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је проблем у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савладавању в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ештине читања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због којег се многа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еца окарактеришу као „л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ијен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а“, „тврдоглава“, „безобразна“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...</w:t>
      </w:r>
    </w:p>
    <w:p w14:paraId="3CD9813E" w14:textId="5DA5B839" w:rsidR="00C64803" w:rsidRPr="00A10896" w:rsidRDefault="00C64803" w:rsidP="007C4D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Први корак у томе да спр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ечимо будуће неправде учињене ка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еци која имају такав проблем је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информисање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F3FF7C5" w14:textId="77777777" w:rsidR="00C64803" w:rsidRPr="00A10896" w:rsidRDefault="00C64803" w:rsidP="007C4DA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</w:t>
      </w:r>
    </w:p>
    <w:p w14:paraId="54112F03" w14:textId="46E29676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Шта је дислексија и како је уочити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 xml:space="preserve">? </w:t>
      </w:r>
    </w:p>
    <w:p w14:paraId="59A1CD94" w14:textId="77777777" w:rsidR="00307B3E" w:rsidRPr="00A10896" w:rsidRDefault="00307B3E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245560A" w14:textId="720A5D01" w:rsidR="00C64803" w:rsidRPr="00A10896" w:rsidRDefault="00C64803" w:rsidP="007C4D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Дислексија 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представља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поремећај способности читања или разум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евања прочитаног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иако постоје све основе да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савлада те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ештине: уредна интелигенција, добар вид, слух, упорни рад на развоју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ештина, жеља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 да научи.</w:t>
      </w:r>
    </w:p>
    <w:p w14:paraId="740C1A02" w14:textId="77777777" w:rsidR="00307B3E" w:rsidRPr="00A10896" w:rsidRDefault="00307B3E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9029035" w14:textId="67E728F1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Типични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знаци да д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ете има дислексију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се огледају у с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љ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едећем: </w:t>
      </w:r>
    </w:p>
    <w:p w14:paraId="6262FB2C" w14:textId="07C745E1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застајкује пр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 него да прочита 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еч, </w:t>
      </w:r>
    </w:p>
    <w:p w14:paraId="0A4AB07D" w14:textId="77777777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гута слова, </w:t>
      </w:r>
    </w:p>
    <w:p w14:paraId="6E61554B" w14:textId="77777777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додаје слогове, </w:t>
      </w:r>
    </w:p>
    <w:p w14:paraId="27120CB1" w14:textId="427C24AC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ешта редосл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ед слова у 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ечи, </w:t>
      </w:r>
    </w:p>
    <w:p w14:paraId="7A7DB23F" w14:textId="2F97C555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зам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ењује слова која слично звуче, </w:t>
      </w:r>
    </w:p>
    <w:p w14:paraId="432C13D2" w14:textId="256F4E39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тешко повезује гласове у 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ечи, </w:t>
      </w:r>
    </w:p>
    <w:p w14:paraId="0D013FBA" w14:textId="0AAC776B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не разум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 оно што прочита (иако може да разум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 када му ви прочитате),</w:t>
      </w:r>
    </w:p>
    <w:p w14:paraId="03F66D49" w14:textId="77777777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прескаче редове, </w:t>
      </w:r>
    </w:p>
    <w:p w14:paraId="1FCB2B2A" w14:textId="77777777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неправилно дише током читања (стално мора да застаје да узме дах)</w:t>
      </w:r>
    </w:p>
    <w:p w14:paraId="5043B316" w14:textId="34D3F8BB" w:rsidR="00C64803" w:rsidRPr="00A10896" w:rsidRDefault="00C64803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ма колико да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ежбате читање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елује да нема напретка или га има минимално.</w:t>
      </w:r>
    </w:p>
    <w:p w14:paraId="0AD6F647" w14:textId="77777777" w:rsidR="00307B3E" w:rsidRPr="00A10896" w:rsidRDefault="00307B3E" w:rsidP="00C648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03A421C" w14:textId="586D7615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Уз то, често уочавате и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„пратеће“</w:t>
      </w:r>
      <w:r w:rsidR="007C4DA3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 xml:space="preserve"> 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симптоме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: </w:t>
      </w:r>
    </w:p>
    <w:p w14:paraId="66071452" w14:textId="3686335E" w:rsidR="00C64803" w:rsidRPr="00A10896" w:rsidRDefault="00C64803" w:rsidP="00C6480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је св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есно свог проблема и ос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ећа се потиштено због тога, </w:t>
      </w:r>
    </w:p>
    <w:p w14:paraId="38A37A10" w14:textId="77777777" w:rsidR="00C64803" w:rsidRPr="00A10896" w:rsidRDefault="00C64803" w:rsidP="00C6480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изолује се из друштва, </w:t>
      </w:r>
    </w:p>
    <w:p w14:paraId="728E7D58" w14:textId="629A63AB" w:rsidR="00C64803" w:rsidRPr="00A10896" w:rsidRDefault="00C64803" w:rsidP="00C6480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почиње да изб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егава контакт са другом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ецом. </w:t>
      </w:r>
    </w:p>
    <w:p w14:paraId="5C77D4AC" w14:textId="77777777" w:rsidR="00307B3E" w:rsidRPr="00A10896" w:rsidRDefault="00307B3E" w:rsidP="00307B3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0E09F40" w14:textId="77777777" w:rsidR="00307B3E" w:rsidRPr="00A10896" w:rsidRDefault="00C64803" w:rsidP="007C4DA3">
      <w:pPr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Наиме,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еца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са дислексијом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су св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есна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да имају проблем са читањем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 Врло често усп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евају да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замаскирају проблем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тиме што буквално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запамте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унапр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ед оно што би требало да „прочитају“. Онда када су откривена да, на неки начин, заостају за другом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ецом, коментари попут „то је она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евојчица која не зна да чита“ не чини баш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најпопуларнијим у друштву. Сем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проблема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везаним за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 социјално функционисање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 xml:space="preserve"> 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јављају се и други,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специфични проблеми 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као што су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оријентација у простору и времену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  Такође,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етету може бити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тешко да успостави редосл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ед 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између различитих активности,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етету са дислексијом је тешко да каже вр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еме или да се придржава 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распореда. Главни проблеми леже у томе да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не може да се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оријентише у простору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; 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ешања тога шта је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л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ево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а шта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десно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одражавају се касније, природно, и на папиру. </w:t>
      </w:r>
    </w:p>
    <w:p w14:paraId="77781AF4" w14:textId="77777777" w:rsidR="00307B3E" w:rsidRPr="00A10896" w:rsidRDefault="00307B3E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F6B8863" w14:textId="6423B03B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Одакле кренути са читањем р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ечи и у којем см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еру се кретати? </w:t>
      </w:r>
    </w:p>
    <w:p w14:paraId="37041F18" w14:textId="77777777" w:rsidR="00307B3E" w:rsidRPr="00A10896" w:rsidRDefault="00307B3E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</w:pPr>
    </w:p>
    <w:p w14:paraId="3B5C1BB3" w14:textId="099C0B98" w:rsidR="00C64803" w:rsidRPr="00A10896" w:rsidRDefault="00C64803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Једна од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научних претпоставки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јесте да је дошло до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зам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ене функција двеју хемисфера: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десна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(синтетичка) преузела је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 језичке функције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л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еве (аналитичке). Како извршити анализу слова и р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ечи и прочитати је, ако нам је обрнут процес доминантан?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еца са дислексијом чешће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мисле невербално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управо због доминације десне хемисфере која има функцију интеграције визуелних и аудитивних информација. Уз то,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формирање категорија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је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ероватно нешто што ћете код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еце са дислексијом прим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етити брзо. Она имају тешкоће да пронађу надређене појмове, кутије у које могу да см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ештају информације. Из тог разлога, често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делују као деконцентрисана, хиперактивна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2DD369F8" w14:textId="77777777" w:rsidR="00307B3E" w:rsidRPr="00A10896" w:rsidRDefault="00307B3E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79F84C8" w14:textId="14909A2B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Шта можете да урадите када препознате проблем или нагов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ештај проблема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?</w:t>
      </w:r>
    </w:p>
    <w:p w14:paraId="5D800D71" w14:textId="77777777" w:rsidR="00307B3E" w:rsidRPr="00A10896" w:rsidRDefault="00307B3E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DB5D5EF" w14:textId="00A1A966" w:rsidR="00C64803" w:rsidRPr="00A10896" w:rsidRDefault="00C64803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Обавезно се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 консултујте са логопедом или психологом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. На тај начин, можете да добијете адекватну проц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ену и програм за рад са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ететом. Систематски рад на развоју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ештина читања уз рад на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оснаживању и мотивисању д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етета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је оно што се примарно препоручује када је дислексија у питању. </w:t>
      </w:r>
    </w:p>
    <w:p w14:paraId="0930298F" w14:textId="77777777" w:rsidR="00307B3E" w:rsidRPr="00A10896" w:rsidRDefault="00307B3E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82C925E" w14:textId="77777777" w:rsidR="00307B3E" w:rsidRPr="00A10896" w:rsidRDefault="00C64803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Постоје и многа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помагала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доступна уз традиционални један на један рад, попут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неурофидбек методе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, којом се ради на 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стимулисању можданих таласа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 тако да се повећава капацитет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етета да дуже истраје на задатку читања. </w:t>
      </w:r>
    </w:p>
    <w:p w14:paraId="517B1065" w14:textId="77777777" w:rsidR="00307B3E" w:rsidRPr="00A10896" w:rsidRDefault="00307B3E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3DCED2A" w14:textId="13DD3450" w:rsidR="00C64803" w:rsidRPr="00A10896" w:rsidRDefault="00C64803" w:rsidP="00C648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  <w:t>Као родитељ можете да:</w:t>
      </w:r>
    </w:p>
    <w:p w14:paraId="2D835F11" w14:textId="7930DC69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читате наглас сваки дан са својим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ететом; нека то буде нека врста заједничког дружења;</w:t>
      </w:r>
    </w:p>
    <w:p w14:paraId="23E2DDDA" w14:textId="6284B3A9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користите сваку прилику да заједно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ежбате (слогани на билбордима, знакови на супермаркетима, инструкције за склапање играчака…);</w:t>
      </w:r>
    </w:p>
    <w:p w14:paraId="5165C365" w14:textId="22352FBD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важно је да познајете интересовања свог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етета.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лакше учи кроз оно што му је занимљиво (спорт, музика, сликање, историја…);</w:t>
      </w:r>
    </w:p>
    <w:p w14:paraId="4805D34E" w14:textId="44DE6803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користите аудио књиге. Нека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 чита књигу и слуша снимак. Полако, нека почне да чита уз књигу;</w:t>
      </w:r>
    </w:p>
    <w:p w14:paraId="22883A78" w14:textId="6570A3BE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тражите хобије, активности после школе којима ћете радити на повећању ос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ећања личне снаге, стабилности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етета, самопоуздања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етета;</w:t>
      </w:r>
    </w:p>
    <w:p w14:paraId="5F37CCFB" w14:textId="7DEE3D75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б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иљ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ежите запажања везана за понашање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етета. Те б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иљ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ешке ће бити корисне и стручњацима који праве програм за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ете;</w:t>
      </w:r>
    </w:p>
    <w:p w14:paraId="7ABFACA5" w14:textId="39BCE1B2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олакшајте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етету памћење распореда. Правите визуелне подс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етнике, мапе, см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ернице;</w:t>
      </w:r>
    </w:p>
    <w:p w14:paraId="264F32A0" w14:textId="4DC7C6D7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ерите разум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евање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етета. Не дајте му шест налога истовремено. Разбијте информације у неколико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елова и онда их преносите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етету;</w:t>
      </w:r>
    </w:p>
    <w:p w14:paraId="4755E131" w14:textId="20F06704" w:rsidR="00C64803" w:rsidRPr="00A10896" w:rsidRDefault="00C64803" w:rsidP="00C6480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помозите му са оријентацијом у простору. Постоје методе попут реедукације психомоторике или БраинГyм-а посебно нам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ењене д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еци са дислексијом. Нађите слике тих в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ежби и прим</w:t>
      </w:r>
      <w:r w:rsidR="00307B3E"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sz w:val="24"/>
          <w:szCs w:val="24"/>
          <w:lang w:val="sr-Cyrl-BA"/>
        </w:rPr>
        <w:t>ењујте их.</w:t>
      </w:r>
    </w:p>
    <w:p w14:paraId="1EDBC04D" w14:textId="77777777" w:rsidR="00307B3E" w:rsidRPr="00A10896" w:rsidRDefault="00307B3E" w:rsidP="00307B3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B0FE5F5" w14:textId="77777777" w:rsidR="00765D66" w:rsidRPr="00A10896" w:rsidRDefault="00765D66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</w:pPr>
    </w:p>
    <w:p w14:paraId="44ACF010" w14:textId="04D64489" w:rsidR="00C64803" w:rsidRPr="00A10896" w:rsidRDefault="00C64803" w:rsidP="00307B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</w:pP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Упознајте се са проблемом да бисте могли да га препознате у пракси. На тај начин се даље могу осмислити начини да се помогне д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ј</w:t>
      </w:r>
      <w:r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етету да се лакше носи са проблемом</w:t>
      </w:r>
      <w:r w:rsidR="00307B3E" w:rsidRPr="00A108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BA"/>
        </w:rPr>
        <w:t>.</w:t>
      </w:r>
    </w:p>
    <w:p w14:paraId="35F80CED" w14:textId="77777777" w:rsidR="00C64803" w:rsidRPr="00A10896" w:rsidRDefault="00C64803" w:rsidP="00C64803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AAAAAA"/>
          <w:sz w:val="24"/>
          <w:szCs w:val="24"/>
          <w:bdr w:val="none" w:sz="0" w:space="0" w:color="auto" w:frame="1"/>
          <w:lang w:val="sr-Cyrl-BA"/>
        </w:rPr>
      </w:pPr>
    </w:p>
    <w:p w14:paraId="1C9B8FF8" w14:textId="77777777" w:rsidR="00C64803" w:rsidRDefault="00C64803" w:rsidP="00C64803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AAAAAA"/>
          <w:sz w:val="24"/>
          <w:szCs w:val="24"/>
          <w:bdr w:val="none" w:sz="0" w:space="0" w:color="auto" w:frame="1"/>
        </w:rPr>
      </w:pPr>
    </w:p>
    <w:p w14:paraId="62EC80E6" w14:textId="77777777" w:rsidR="00C64803" w:rsidRPr="00C64803" w:rsidRDefault="00C64803" w:rsidP="00C64803">
      <w:pPr>
        <w:spacing w:after="0" w:line="360" w:lineRule="atLeast"/>
        <w:textAlignment w:val="baseline"/>
        <w:rPr>
          <w:rFonts w:ascii="Lato" w:eastAsia="Times New Roman" w:hAnsi="Lato" w:cs="Times New Roman"/>
          <w:color w:val="AAAAAA"/>
          <w:sz w:val="24"/>
          <w:szCs w:val="24"/>
        </w:rPr>
      </w:pPr>
    </w:p>
    <w:p w14:paraId="5794619C" w14:textId="77777777" w:rsidR="001121F7" w:rsidRDefault="001121F7">
      <w:bookmarkStart w:id="0" w:name="_GoBack"/>
      <w:bookmarkEnd w:id="0"/>
    </w:p>
    <w:sectPr w:rsidR="00112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0FCB"/>
    <w:multiLevelType w:val="multilevel"/>
    <w:tmpl w:val="0CCC6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5851"/>
    <w:multiLevelType w:val="multilevel"/>
    <w:tmpl w:val="D17C0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263EE"/>
    <w:multiLevelType w:val="multilevel"/>
    <w:tmpl w:val="C2780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03"/>
    <w:rsid w:val="001121F7"/>
    <w:rsid w:val="001D095F"/>
    <w:rsid w:val="00307B3E"/>
    <w:rsid w:val="00765D66"/>
    <w:rsid w:val="007C4DA3"/>
    <w:rsid w:val="00A10896"/>
    <w:rsid w:val="00C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506"/>
  <w15:chartTrackingRefBased/>
  <w15:docId w15:val="{DD84AAFF-DA5D-4B6C-B501-736BE09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66"/>
  </w:style>
  <w:style w:type="paragraph" w:styleId="Heading1">
    <w:name w:val="heading 1"/>
    <w:basedOn w:val="Normal"/>
    <w:next w:val="Normal"/>
    <w:link w:val="Heading1Char"/>
    <w:uiPriority w:val="9"/>
    <w:qFormat/>
    <w:rsid w:val="00765D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D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D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D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D6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D6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D6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D6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D6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D6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D6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D6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D6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D6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65D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65D6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D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65D6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65D66"/>
    <w:rPr>
      <w:b/>
      <w:bCs/>
    </w:rPr>
  </w:style>
  <w:style w:type="character" w:styleId="Emphasis">
    <w:name w:val="Emphasis"/>
    <w:basedOn w:val="DefaultParagraphFont"/>
    <w:uiPriority w:val="20"/>
    <w:qFormat/>
    <w:rsid w:val="00765D6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65D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5D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65D6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D6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D6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5D6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65D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5D6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65D6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65D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D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Pomoćnik direktora</dc:creator>
  <cp:keywords/>
  <dc:description/>
  <cp:lastModifiedBy>JU OŠ "Sveti Sava" Bijeljina - Pedagog</cp:lastModifiedBy>
  <cp:revision>5</cp:revision>
  <dcterms:created xsi:type="dcterms:W3CDTF">2024-02-12T10:08:00Z</dcterms:created>
  <dcterms:modified xsi:type="dcterms:W3CDTF">2024-03-21T12:18:00Z</dcterms:modified>
</cp:coreProperties>
</file>